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C564D" w14:textId="77777777" w:rsidR="00242CE6" w:rsidRPr="00242CE6" w:rsidRDefault="00242CE6" w:rsidP="00242CE6">
      <w:pPr>
        <w:pBdr>
          <w:left w:val="single" w:sz="36" w:space="15" w:color="4B84BF"/>
        </w:pBdr>
        <w:spacing w:after="0" w:line="240" w:lineRule="auto"/>
        <w:outlineLvl w:val="0"/>
        <w:rPr>
          <w:rFonts w:ascii="inherit" w:eastAsia="Times New Roman" w:hAnsi="inherit"/>
          <w:kern w:val="36"/>
          <w:sz w:val="28"/>
          <w:szCs w:val="28"/>
          <w:lang w:eastAsia="uk-UA"/>
        </w:rPr>
      </w:pPr>
      <w:r w:rsidRPr="00242CE6">
        <w:rPr>
          <w:rFonts w:ascii="inherit" w:eastAsia="Times New Roman" w:hAnsi="inherit"/>
          <w:kern w:val="36"/>
          <w:sz w:val="28"/>
          <w:szCs w:val="28"/>
          <w:lang w:eastAsia="uk-UA"/>
        </w:rPr>
        <w:t xml:space="preserve">Наказ </w:t>
      </w:r>
      <w:proofErr w:type="spellStart"/>
      <w:r w:rsidRPr="00242CE6">
        <w:rPr>
          <w:rFonts w:ascii="inherit" w:eastAsia="Times New Roman" w:hAnsi="inherit"/>
          <w:kern w:val="36"/>
          <w:sz w:val="28"/>
          <w:szCs w:val="28"/>
          <w:lang w:eastAsia="uk-UA"/>
        </w:rPr>
        <w:t>Мінрегіону</w:t>
      </w:r>
      <w:proofErr w:type="spellEnd"/>
      <w:r w:rsidRPr="00242CE6">
        <w:rPr>
          <w:rFonts w:ascii="inherit" w:eastAsia="Times New Roman" w:hAnsi="inherit"/>
          <w:kern w:val="36"/>
          <w:sz w:val="28"/>
          <w:szCs w:val="28"/>
          <w:lang w:eastAsia="uk-UA"/>
        </w:rPr>
        <w:t xml:space="preserve"> «Про затвердження Методичних рекомендацій щодо проведення моніторингу та оцінки ступеня </w:t>
      </w:r>
      <w:proofErr w:type="spellStart"/>
      <w:r w:rsidRPr="00242CE6">
        <w:rPr>
          <w:rFonts w:ascii="inherit" w:eastAsia="Times New Roman" w:hAnsi="inherit"/>
          <w:kern w:val="36"/>
          <w:sz w:val="28"/>
          <w:szCs w:val="28"/>
          <w:lang w:eastAsia="uk-UA"/>
        </w:rPr>
        <w:t>безбар’єрності</w:t>
      </w:r>
      <w:proofErr w:type="spellEnd"/>
      <w:r w:rsidRPr="00242CE6">
        <w:rPr>
          <w:rFonts w:ascii="inherit" w:eastAsia="Times New Roman" w:hAnsi="inherit"/>
          <w:kern w:val="36"/>
          <w:sz w:val="28"/>
          <w:szCs w:val="28"/>
          <w:lang w:eastAsia="uk-UA"/>
        </w:rPr>
        <w:t xml:space="preserve"> об’єктів фізичного оточення і послуг для осіб з інвалідністю»</w:t>
      </w:r>
    </w:p>
    <w:p w14:paraId="40879DFE" w14:textId="77777777" w:rsidR="00242CE6" w:rsidRPr="00242CE6" w:rsidRDefault="00242CE6" w:rsidP="00242CE6">
      <w:pPr>
        <w:spacing w:after="0" w:line="375" w:lineRule="atLeast"/>
        <w:jc w:val="center"/>
        <w:rPr>
          <w:rFonts w:ascii="SourceSansPro" w:eastAsia="Times New Roman" w:hAnsi="SourceSansPro"/>
          <w:caps/>
          <w:color w:val="A7A9AF"/>
          <w:spacing w:val="24"/>
          <w:sz w:val="24"/>
          <w:szCs w:val="24"/>
          <w:lang w:eastAsia="uk-UA"/>
        </w:rPr>
      </w:pPr>
      <w:r w:rsidRPr="00242CE6">
        <w:rPr>
          <w:rFonts w:ascii="SourceSansPro" w:eastAsia="Times New Roman" w:hAnsi="SourceSansPro"/>
          <w:caps/>
          <w:color w:val="A7A9AF"/>
          <w:spacing w:val="24"/>
          <w:sz w:val="24"/>
          <w:szCs w:val="24"/>
          <w:lang w:eastAsia="uk-UA"/>
        </w:rPr>
        <w:t>01.09.2021</w:t>
      </w:r>
    </w:p>
    <w:p w14:paraId="2DC4E0D5" w14:textId="77777777" w:rsidR="00242CE6" w:rsidRPr="00242CE6" w:rsidRDefault="00242CE6" w:rsidP="00242CE6">
      <w:pPr>
        <w:spacing w:after="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noProof/>
          <w:sz w:val="24"/>
          <w:szCs w:val="24"/>
          <w:lang w:eastAsia="uk-UA"/>
        </w:rPr>
        <w:drawing>
          <wp:inline distT="0" distB="0" distL="0" distR="0" wp14:anchorId="232C9D49" wp14:editId="1733AEDA">
            <wp:extent cx="460438" cy="5613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27" cy="56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CE6">
        <w:rPr>
          <w:rFonts w:eastAsia="Times New Roman"/>
          <w:b/>
          <w:bCs/>
          <w:sz w:val="24"/>
          <w:szCs w:val="24"/>
          <w:lang w:eastAsia="uk-UA"/>
        </w:rPr>
        <w:br/>
        <w:t>МІНІСТЕРСТВО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br/>
        <w:t>РОЗВИТКУ  ГРОМАД ТА ТЕРИТОРІЙ УКРАЇНИ</w:t>
      </w:r>
    </w:p>
    <w:p w14:paraId="0BC76F59" w14:textId="77777777" w:rsidR="00242CE6" w:rsidRDefault="00242CE6" w:rsidP="00242CE6">
      <w:pPr>
        <w:spacing w:after="300" w:line="240" w:lineRule="auto"/>
        <w:jc w:val="center"/>
        <w:rPr>
          <w:rFonts w:eastAsia="Times New Roman"/>
          <w:sz w:val="24"/>
          <w:szCs w:val="24"/>
          <w:lang w:eastAsia="uk-UA"/>
        </w:rPr>
      </w:pPr>
    </w:p>
    <w:p w14:paraId="0579EA53" w14:textId="75565352" w:rsidR="00242CE6" w:rsidRPr="00242CE6" w:rsidRDefault="00242CE6" w:rsidP="00242CE6">
      <w:pPr>
        <w:spacing w:after="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Н А К А З</w:t>
      </w:r>
    </w:p>
    <w:p w14:paraId="311F31C5" w14:textId="77777777" w:rsidR="00242CE6" w:rsidRPr="00242CE6" w:rsidRDefault="00242CE6" w:rsidP="00242CE6">
      <w:pPr>
        <w:spacing w:after="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від </w:t>
      </w:r>
      <w:r w:rsidRPr="00242CE6">
        <w:rPr>
          <w:rFonts w:eastAsia="Times New Roman"/>
          <w:sz w:val="24"/>
          <w:szCs w:val="24"/>
          <w:u w:val="single"/>
          <w:lang w:eastAsia="uk-UA"/>
        </w:rPr>
        <w:t>31 .08 .2021 р.</w:t>
      </w:r>
      <w:r w:rsidRPr="00242CE6">
        <w:rPr>
          <w:rFonts w:eastAsia="Times New Roman"/>
          <w:sz w:val="24"/>
          <w:szCs w:val="24"/>
          <w:lang w:eastAsia="uk-UA"/>
        </w:rPr>
        <w:t>                                  Київ                                                 № </w:t>
      </w:r>
      <w:r w:rsidRPr="00242CE6">
        <w:rPr>
          <w:rFonts w:eastAsia="Times New Roman"/>
          <w:sz w:val="24"/>
          <w:szCs w:val="24"/>
          <w:u w:val="single"/>
          <w:lang w:eastAsia="uk-UA"/>
        </w:rPr>
        <w:t>217</w:t>
      </w:r>
    </w:p>
    <w:p w14:paraId="14C50E36" w14:textId="77777777" w:rsidR="00242CE6" w:rsidRPr="00242CE6" w:rsidRDefault="00242CE6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 </w:t>
      </w:r>
    </w:p>
    <w:p w14:paraId="66BEF792" w14:textId="77777777" w:rsidR="00242CE6" w:rsidRPr="00242CE6" w:rsidRDefault="00242CE6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Про затвердження Методичних рекомендацій</w:t>
      </w:r>
      <w:r w:rsidRPr="00242CE6">
        <w:rPr>
          <w:rFonts w:eastAsia="Times New Roman"/>
          <w:sz w:val="24"/>
          <w:szCs w:val="24"/>
          <w:lang w:eastAsia="uk-UA"/>
        </w:rPr>
        <w:br/>
        <w:t>щодо проведення моніторингу та оцінки ступеня</w:t>
      </w:r>
      <w:r w:rsidRPr="00242CE6">
        <w:rPr>
          <w:rFonts w:eastAsia="Times New Roman"/>
          <w:sz w:val="24"/>
          <w:szCs w:val="24"/>
          <w:lang w:eastAsia="uk-UA"/>
        </w:rPr>
        <w:br/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</w:t>
      </w:r>
      <w:r w:rsidRPr="00242CE6">
        <w:rPr>
          <w:rFonts w:eastAsia="Times New Roman"/>
          <w:sz w:val="24"/>
          <w:szCs w:val="24"/>
          <w:lang w:eastAsia="uk-UA"/>
        </w:rPr>
        <w:br/>
        <w:t>і послуг для осіб з інвалідністю</w:t>
      </w:r>
    </w:p>
    <w:p w14:paraId="472C8098" w14:textId="246B4D18" w:rsidR="00242CE6" w:rsidRPr="00242CE6" w:rsidRDefault="00242CE6" w:rsidP="00242CE6">
      <w:pPr>
        <w:spacing w:after="30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Відповідно до абзацу третього пункту 2 постанови Кабінету Міністрів України від 26.05.2021 № 537 «Про затвердження Порядку проведення моніторингу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інвалідністю», абзацу шостого підпункту 13 та підпункту 13</w:t>
      </w:r>
      <w:r w:rsidRPr="00242CE6">
        <w:rPr>
          <w:rFonts w:eastAsia="Times New Roman"/>
          <w:sz w:val="24"/>
          <w:szCs w:val="24"/>
          <w:vertAlign w:val="superscript"/>
          <w:lang w:eastAsia="uk-UA"/>
        </w:rPr>
        <w:t>1</w:t>
      </w:r>
      <w:r w:rsidRPr="00242CE6">
        <w:rPr>
          <w:rFonts w:eastAsia="Times New Roman"/>
          <w:sz w:val="24"/>
          <w:szCs w:val="24"/>
          <w:lang w:eastAsia="uk-UA"/>
        </w:rPr>
        <w:t> пункту 3 Положення про Міністерство розвитку громад та територій України, затвердженого постановою Кабінету Міністрів України від 30.04.2014 № 197 (у редакції постанови Кабінету Міністрів України від 25.09.2019 № 850),</w:t>
      </w:r>
    </w:p>
    <w:p w14:paraId="114E17EB" w14:textId="77777777" w:rsidR="00242CE6" w:rsidRPr="00242CE6" w:rsidRDefault="00242CE6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НАКАЗУЮ:</w:t>
      </w:r>
    </w:p>
    <w:p w14:paraId="7BF85DE5" w14:textId="77777777" w:rsidR="00242CE6" w:rsidRPr="00242CE6" w:rsidRDefault="00242CE6" w:rsidP="00242CE6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 xml:space="preserve">Затвердити Методичні рекомендації щодо проведення моніторингу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інвалідністю, що додаються (далі – Методичні рекомендації).</w:t>
      </w:r>
    </w:p>
    <w:p w14:paraId="02371DFF" w14:textId="77777777" w:rsidR="00242CE6" w:rsidRPr="00242CE6" w:rsidRDefault="00242CE6" w:rsidP="00242CE6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Директорату просторового планування територій та архітектури (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Плащенко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Є.) разом з Юридичним департаментом (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Чепелюк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О.) забезпечити оприлюднення цього наказу на офіційному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вебсайті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Мінрегіону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>.</w:t>
      </w:r>
    </w:p>
    <w:p w14:paraId="1786603C" w14:textId="77777777" w:rsidR="00242CE6" w:rsidRPr="00242CE6" w:rsidRDefault="00242CE6" w:rsidP="00242CE6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Контроль за виконанням цього наказу покласти на заступника Міністра Наталію Козловську.</w:t>
      </w:r>
    </w:p>
    <w:p w14:paraId="192691CD" w14:textId="77777777" w:rsidR="00242CE6" w:rsidRPr="00242CE6" w:rsidRDefault="00242CE6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  </w:t>
      </w:r>
    </w:p>
    <w:p w14:paraId="77B43232" w14:textId="77777777" w:rsidR="00242CE6" w:rsidRPr="00242CE6" w:rsidRDefault="00242CE6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Міністр                                                                                 Олексій ЧЕРНИШОВ</w:t>
      </w:r>
    </w:p>
    <w:p w14:paraId="56F6A85E" w14:textId="53A54E31" w:rsidR="00242CE6" w:rsidRDefault="00242CE6" w:rsidP="00242CE6">
      <w:pPr>
        <w:spacing w:after="300" w:line="240" w:lineRule="auto"/>
        <w:rPr>
          <w:rFonts w:eastAsia="Times New Roman"/>
          <w:b/>
          <w:bCs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 </w:t>
      </w:r>
    </w:p>
    <w:p w14:paraId="07B58D0A" w14:textId="7AC6F0A0" w:rsidR="00242CE6" w:rsidRDefault="00242CE6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</w:p>
    <w:p w14:paraId="3D0A30C6" w14:textId="4AFDDF24" w:rsidR="00CB7638" w:rsidRDefault="00CB7638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</w:p>
    <w:p w14:paraId="08663F4C" w14:textId="55970A91" w:rsidR="00CB7638" w:rsidRDefault="00CB7638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</w:p>
    <w:p w14:paraId="1E7D5337" w14:textId="77777777" w:rsidR="00CB7638" w:rsidRPr="00242CE6" w:rsidRDefault="00CB7638" w:rsidP="00242CE6">
      <w:pPr>
        <w:spacing w:after="300" w:line="240" w:lineRule="auto"/>
        <w:rPr>
          <w:rFonts w:eastAsia="Times New Roman"/>
          <w:sz w:val="24"/>
          <w:szCs w:val="24"/>
          <w:lang w:eastAsia="uk-UA"/>
        </w:rPr>
      </w:pPr>
    </w:p>
    <w:p w14:paraId="4FA5EFE5" w14:textId="77777777" w:rsidR="00242CE6" w:rsidRPr="00242CE6" w:rsidRDefault="00242CE6" w:rsidP="00242CE6">
      <w:pPr>
        <w:spacing w:after="300" w:line="240" w:lineRule="auto"/>
        <w:jc w:val="right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lastRenderedPageBreak/>
        <w:t>Затверджено наказом Міністерства</w:t>
      </w:r>
      <w:r w:rsidRPr="00242CE6">
        <w:rPr>
          <w:rFonts w:eastAsia="Times New Roman"/>
          <w:sz w:val="24"/>
          <w:szCs w:val="24"/>
          <w:lang w:eastAsia="uk-UA"/>
        </w:rPr>
        <w:br/>
        <w:t>розвитку громад та територій України</w:t>
      </w:r>
      <w:r w:rsidRPr="00242CE6">
        <w:rPr>
          <w:rFonts w:eastAsia="Times New Roman"/>
          <w:sz w:val="24"/>
          <w:szCs w:val="24"/>
          <w:lang w:eastAsia="uk-UA"/>
        </w:rPr>
        <w:br/>
        <w:t>від 31 серпня 2021 року № 217</w:t>
      </w:r>
    </w:p>
    <w:p w14:paraId="2BF1048D" w14:textId="77777777" w:rsidR="00242CE6" w:rsidRPr="00242CE6" w:rsidRDefault="00242CE6" w:rsidP="00242CE6">
      <w:pPr>
        <w:spacing w:after="30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8"/>
          <w:szCs w:val="28"/>
          <w:lang w:eastAsia="uk-UA"/>
        </w:rPr>
        <w:t>МЕТОДИЧНІ РЕКОМЕНДАЦІЇ</w:t>
      </w:r>
      <w:r w:rsidRPr="00242CE6">
        <w:rPr>
          <w:rFonts w:eastAsia="Times New Roman"/>
          <w:b/>
          <w:bCs/>
          <w:sz w:val="28"/>
          <w:szCs w:val="28"/>
          <w:lang w:eastAsia="uk-UA"/>
        </w:rPr>
        <w:br/>
      </w:r>
      <w:r w:rsidRPr="00242CE6">
        <w:rPr>
          <w:rFonts w:eastAsia="Times New Roman"/>
          <w:b/>
          <w:bCs/>
          <w:sz w:val="24"/>
          <w:szCs w:val="24"/>
          <w:lang w:eastAsia="uk-UA"/>
        </w:rPr>
        <w:t xml:space="preserve">щодо проведення моніторингу та оцінки ступеня </w:t>
      </w:r>
      <w:proofErr w:type="spellStart"/>
      <w:r w:rsidRPr="00242CE6">
        <w:rPr>
          <w:rFonts w:eastAsia="Times New Roman"/>
          <w:b/>
          <w:bCs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b/>
          <w:bCs/>
          <w:sz w:val="24"/>
          <w:szCs w:val="24"/>
          <w:lang w:eastAsia="uk-UA"/>
        </w:rPr>
        <w:t xml:space="preserve"> об’єктів фізичного оточення і послуг для осіб з інвалідністю</w:t>
      </w:r>
    </w:p>
    <w:p w14:paraId="58485F53" w14:textId="77777777" w:rsidR="00242CE6" w:rsidRPr="00242CE6" w:rsidRDefault="00242CE6" w:rsidP="00242CE6">
      <w:pPr>
        <w:spacing w:after="30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І. ЩО ТАКЕ МОНІТОРИНГ ТА ОЦІНКА ТА ОЦІНКА СТУПЕНЯ БЕЗБАР’ЄРНОСТІ ОБ’ЄКТІВ ФІЗИЧНОГО ОТОЧЕННЯ І ПОСЛУГ ДЛЯ ОСІБ З ІНВАЛІДНІСТЮ.</w:t>
      </w:r>
    </w:p>
    <w:p w14:paraId="6B7DE5A4" w14:textId="6D338AAF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b/>
          <w:bCs/>
          <w:sz w:val="24"/>
          <w:szCs w:val="24"/>
          <w:lang w:eastAsia="uk-UA"/>
        </w:rPr>
        <w:t xml:space="preserve">         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 </w:t>
      </w:r>
      <w:r w:rsidRPr="00242CE6">
        <w:rPr>
          <w:rFonts w:eastAsia="Times New Roman"/>
          <w:sz w:val="24"/>
          <w:szCs w:val="24"/>
          <w:lang w:eastAsia="uk-UA"/>
        </w:rPr>
        <w:t>Фізичне оточення в Україні і до цього часу все ще переважно розраховано на здорову за середніми стандартами людину. Будинки і споруди, збудовані за радянських часів або й раніше, залишаються недоступними для певної категорії громадян, які відносяться до маломобільних.</w:t>
      </w:r>
    </w:p>
    <w:p w14:paraId="57DFB365" w14:textId="54B839CE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</w:t>
      </w:r>
      <w:r w:rsidRPr="00242CE6">
        <w:rPr>
          <w:rFonts w:eastAsia="Times New Roman"/>
          <w:sz w:val="24"/>
          <w:szCs w:val="24"/>
          <w:lang w:eastAsia="uk-UA"/>
        </w:rPr>
        <w:t>Відповідно до Закону України «Про регулювання містобудівної діяльності» маломобільні групи населення – особи, які відчувають труднощі при самостійному пересуванні, одержанні послуги, необхідної інформації або при орієнтуванні у просторі, зокрема особи з інвалідністю, особи з тимчасовим порушенням здоров’я, вагітні жінки, громадяни похилого віку, особи з дитячими візками.</w:t>
      </w:r>
    </w:p>
    <w:p w14:paraId="3BF21C68" w14:textId="7DBEBF10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Моніторинг та оцінка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 – інструмент збору та узагальнення інформації про ступінь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 за єдиними Критеріями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інвалідністю, який дозволить: забезпечити проведення щорічного обстеження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інвалідністю, здійснювати аналіз стану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 в Україні, визначати динаміку створення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безбар’єрного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простору, виявляти проблеми та планувати шляхи їх вирішення.</w:t>
      </w:r>
    </w:p>
    <w:p w14:paraId="52389F24" w14:textId="20E0CE09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</w:t>
      </w:r>
      <w:r w:rsidRPr="00242CE6">
        <w:rPr>
          <w:rFonts w:eastAsia="Times New Roman"/>
          <w:sz w:val="24"/>
          <w:szCs w:val="24"/>
          <w:lang w:eastAsia="uk-UA"/>
        </w:rPr>
        <w:t xml:space="preserve">Якісне обстеження об’єктів, у яких надаються послуги населенню, на відповідність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Критерям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інвалідністю, суттєво вплине на ситуацію з виявленням як фізичних так і організаційних бар’єрів для осіб з інвалідністю, що, у свою чергу, стимулюватиме управителів об’єктів медичного та освітнього, культурного та спортивного, побутового, торгівельного та іншого призначення краще зрозуміти проблему та вживати комплексні і більш ефективні заходи із забезпечення можливості особам з інвалідністю повною мірою користуватися правами людини і громадянина без будь-якого приниження та дискримінації.</w:t>
      </w:r>
    </w:p>
    <w:p w14:paraId="613E0E5B" w14:textId="1F88900C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Порядок проведення моніторингу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 затверджено постановою Кабінету Міністрів України від 26 травня 2021 року № 537, (далі – Порядок).</w:t>
      </w:r>
    </w:p>
    <w:p w14:paraId="24B99094" w14:textId="4338CCAA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</w:t>
      </w:r>
      <w:r w:rsidRPr="00242CE6">
        <w:rPr>
          <w:rFonts w:eastAsia="Times New Roman"/>
          <w:sz w:val="24"/>
          <w:szCs w:val="24"/>
          <w:lang w:eastAsia="uk-UA"/>
        </w:rPr>
        <w:t>При цьому, дія Порядку також поширюється на маломобільні групи населення (далі – МГН).</w:t>
      </w:r>
    </w:p>
    <w:p w14:paraId="7DEC373B" w14:textId="27346DED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З метою забезпечення єдиного підходу до обстеження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 та інших МГН Порядком встановлено відповідні Критерії, які базуються на основних вимогах ДБН В.2.2 40:2018 «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Інклюзивність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будівель і споруд. Основні положення» та дозволяють проводити якісне (функціональне) обстеження об’єктів, в яких надаються послуги населенню, та оцінювати їх в частині забезпечення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>, у тому числі з можливістю долучення до процесу представників від громадських об’єднань осіб з інвалідністю.</w:t>
      </w:r>
    </w:p>
    <w:p w14:paraId="6A0FDED9" w14:textId="120C0D6E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</w:t>
      </w:r>
      <w:r w:rsidRPr="00242CE6">
        <w:rPr>
          <w:rFonts w:eastAsia="Times New Roman"/>
          <w:sz w:val="24"/>
          <w:szCs w:val="24"/>
          <w:lang w:eastAsia="uk-UA"/>
        </w:rPr>
        <w:t>Перелік заходів, наданих в Критеріях, не є виключним і може в подальшому доповнюватись для окремих категорій об’єктів з урахуванням їх призначення.</w:t>
      </w:r>
    </w:p>
    <w:p w14:paraId="7DE513F4" w14:textId="6DF65CF9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Порядком визначено суб’єктів, які проводять обстеження та оцінку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послуг, а саме:</w:t>
      </w:r>
    </w:p>
    <w:p w14:paraId="583B71C6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lastRenderedPageBreak/>
        <w:t>–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регіональні органи з питань містобудування та архітектури</w:t>
      </w:r>
      <w:r w:rsidRPr="00242CE6">
        <w:rPr>
          <w:rFonts w:eastAsia="Times New Roman"/>
          <w:sz w:val="24"/>
          <w:szCs w:val="24"/>
          <w:lang w:eastAsia="uk-UA"/>
        </w:rPr>
        <w:t> – структурні підрозділи з питань містобудування та архітектури обласних, Київської та Севастопольської міських держадміністрацій;</w:t>
      </w:r>
    </w:p>
    <w:p w14:paraId="7B8895C3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–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місцеві органи з питань містобудування та архітектури</w:t>
      </w:r>
      <w:r w:rsidRPr="00242CE6">
        <w:rPr>
          <w:rFonts w:eastAsia="Times New Roman"/>
          <w:sz w:val="24"/>
          <w:szCs w:val="24"/>
          <w:lang w:eastAsia="uk-UA"/>
        </w:rPr>
        <w:t> – структурні підрозділи з питань містобудування та архітектури райдержадміністрацій, виконавчих органів, виконавчих органів сільських, селищних, міських, районних в місті (у разі їх утворення) рад, територіальних громад;</w:t>
      </w:r>
    </w:p>
    <w:p w14:paraId="41E65C11" w14:textId="77777777" w:rsidR="00242CE6" w:rsidRPr="00242CE6" w:rsidRDefault="00242CE6" w:rsidP="00242CE6">
      <w:pPr>
        <w:spacing w:after="30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sz w:val="24"/>
          <w:szCs w:val="24"/>
          <w:lang w:eastAsia="uk-UA"/>
        </w:rPr>
        <w:t>–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управителі об’єктів</w:t>
      </w:r>
      <w:r w:rsidRPr="00242CE6">
        <w:rPr>
          <w:rFonts w:eastAsia="Times New Roman"/>
          <w:sz w:val="24"/>
          <w:szCs w:val="24"/>
          <w:lang w:eastAsia="uk-UA"/>
        </w:rPr>
        <w:t> – власники (балансоутримувачі), орендарі або інші управителі об’єктів, що несуть відповідальність за їх експлуатацію.</w:t>
      </w:r>
    </w:p>
    <w:p w14:paraId="3D66C654" w14:textId="72C40339" w:rsidR="00242CE6" w:rsidRPr="00242CE6" w:rsidRDefault="00242CE6" w:rsidP="00242CE6">
      <w:pPr>
        <w:spacing w:after="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ІІ. ЕТАПИ ПРОВЕДЕННЯ МОНІТОРИНГУ.</w:t>
      </w:r>
    </w:p>
    <w:p w14:paraId="2AD3494D" w14:textId="77777777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 </w:t>
      </w:r>
      <w:r w:rsidRPr="00242CE6">
        <w:rPr>
          <w:rFonts w:eastAsia="Times New Roman"/>
          <w:sz w:val="24"/>
          <w:szCs w:val="24"/>
          <w:lang w:eastAsia="uk-UA"/>
        </w:rPr>
        <w:t>Моніторинг проводиться один раз на рік у наступному порядку.</w:t>
      </w:r>
    </w:p>
    <w:p w14:paraId="06AFDF13" w14:textId="4D426901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>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щороку до 1 червня</w:t>
      </w:r>
      <w:r w:rsidRPr="00242CE6">
        <w:rPr>
          <w:rFonts w:eastAsia="Times New Roman"/>
          <w:sz w:val="24"/>
          <w:szCs w:val="24"/>
          <w:lang w:eastAsia="uk-UA"/>
        </w:rPr>
        <w:t> визначає типи об’єктів, що підлягають оцінці та оприлюднює зазначену інформацію на своєму офіційному веб-сайті.</w:t>
      </w:r>
    </w:p>
    <w:p w14:paraId="240D960C" w14:textId="6C23F587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b/>
          <w:bCs/>
          <w:sz w:val="24"/>
          <w:szCs w:val="24"/>
          <w:lang w:eastAsia="uk-UA"/>
        </w:rPr>
        <w:t xml:space="preserve">           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У тижневий строк</w:t>
      </w:r>
      <w:r w:rsidRPr="00242CE6">
        <w:rPr>
          <w:rFonts w:eastAsia="Times New Roman"/>
          <w:sz w:val="24"/>
          <w:szCs w:val="24"/>
          <w:lang w:eastAsia="uk-UA"/>
        </w:rPr>
        <w:t xml:space="preserve"> після оприлюднення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Мінрегіоном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інформації про типи об’єктів, що підлягають оцінці, регіональними та місцевими органами з питань містобудування та архітектури вказана інформація доводиться до відома управителів об’єктів.</w:t>
      </w:r>
    </w:p>
    <w:p w14:paraId="38422267" w14:textId="61B5A0D5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>Місцевими органами з питань містобудування та архітектури складаються переліки об’єктів, що підлягають оцінці у поточному році.</w:t>
      </w:r>
    </w:p>
    <w:p w14:paraId="5C2E8D4D" w14:textId="3C76D310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>Управителями об’єктів, які були внесені до переліку об’єктів, що підлягають обстеженню та оцінці,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щороку у період з 1 червня до 31 серпня</w:t>
      </w:r>
      <w:r w:rsidRPr="00242CE6">
        <w:rPr>
          <w:rFonts w:eastAsia="Times New Roman"/>
          <w:sz w:val="24"/>
          <w:szCs w:val="24"/>
          <w:lang w:eastAsia="uk-UA"/>
        </w:rPr>
        <w:t> проводиться обстеження та оцінка зазначених об’єктів, що рекомендується здійснювати у послідовності, встановленій у Додатку 1 до Порядку.</w:t>
      </w:r>
    </w:p>
    <w:p w14:paraId="00EFB28C" w14:textId="38F2D892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b/>
          <w:bCs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Щороку до 15 вересня</w:t>
      </w:r>
      <w:r w:rsidRPr="00242CE6">
        <w:rPr>
          <w:rFonts w:eastAsia="Times New Roman"/>
          <w:sz w:val="24"/>
          <w:szCs w:val="24"/>
          <w:lang w:eastAsia="uk-UA"/>
        </w:rPr>
        <w:t xml:space="preserve"> управителі об’єктів, які були внесені до переліку об’єктів, що підлягають обстеженню та оцінці, подають відповідному місцевому органу з питань містобудування та архітектури інформацію щодо проведення обстеження об’єктів та оцінку їх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за формою згідно з Додатком 1 до Порядку.</w:t>
      </w:r>
    </w:p>
    <w:p w14:paraId="06A143BC" w14:textId="652F667C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b/>
          <w:bCs/>
          <w:sz w:val="24"/>
          <w:szCs w:val="24"/>
          <w:lang w:eastAsia="uk-UA"/>
        </w:rPr>
        <w:t xml:space="preserve">               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Щороку до 30 вересня</w:t>
      </w:r>
      <w:r w:rsidRPr="00242CE6">
        <w:rPr>
          <w:rFonts w:eastAsia="Times New Roman"/>
          <w:sz w:val="24"/>
          <w:szCs w:val="24"/>
          <w:lang w:eastAsia="uk-UA"/>
        </w:rPr>
        <w:t> місцеві органи з питань містобудування та архітектури забезпечують збір інформації, поданої управителями об’єктів, узагальнюють її, оприлюднюють на своєму офіційному сайті та подають відповідному регіональному органу з питань містобудування та архітектури за формою згідно з Додатком 2 до Порядку.</w:t>
      </w:r>
    </w:p>
    <w:p w14:paraId="73B0307A" w14:textId="09905279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b/>
          <w:bCs/>
          <w:sz w:val="24"/>
          <w:szCs w:val="24"/>
          <w:lang w:eastAsia="uk-UA"/>
        </w:rPr>
        <w:t xml:space="preserve">               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Щороку до 31 жовтня</w:t>
      </w:r>
      <w:r w:rsidRPr="00242CE6">
        <w:rPr>
          <w:rFonts w:eastAsia="Times New Roman"/>
          <w:sz w:val="24"/>
          <w:szCs w:val="24"/>
          <w:lang w:eastAsia="uk-UA"/>
        </w:rPr>
        <w:t xml:space="preserve"> регіональні органи з питань містобудування і архітектури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забезпечуєть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збір інформації, поданої місцевими органами з питань містобудування та архітектури, узагальнюють її, оприлюднюють на своєму офіційному сайті та подають її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Мінрегіону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за формою згідно з Додатком 3 до Порядку.</w:t>
      </w:r>
    </w:p>
    <w:p w14:paraId="4940B1F6" w14:textId="2F8B5F5D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за результатами розгляду інформації від регіональних органів з питань містобудування і архітектури формує рейтинг обласних, Київської та Севастопольської міських держадміністрацій за ступенем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за формою згідно з Додатком 4 до Порядку, який оприлюднюється на офіційному сайті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Мінрегіону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у розділі «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Безбар’єрність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>».</w:t>
      </w:r>
    </w:p>
    <w:p w14:paraId="51F80BB3" w14:textId="09441F11" w:rsidR="00242CE6" w:rsidRPr="00242CE6" w:rsidRDefault="00242CE6" w:rsidP="00242CE6">
      <w:pPr>
        <w:spacing w:after="30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>Обласними, Київською та Севастопольською міськими держадміністраціями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протягом трьох місяців</w:t>
      </w:r>
      <w:r w:rsidRPr="00242CE6">
        <w:rPr>
          <w:rFonts w:eastAsia="Times New Roman"/>
          <w:sz w:val="24"/>
          <w:szCs w:val="24"/>
          <w:lang w:eastAsia="uk-UA"/>
        </w:rPr>
        <w:t xml:space="preserve"> після оприлюднення рейтингу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Мінрегіоном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надаються пропозиції місцевим органам з питань містобудування та архітектури щодо покращення стану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послуг.</w:t>
      </w:r>
    </w:p>
    <w:p w14:paraId="33E5A9FF" w14:textId="180AD618" w:rsidR="00242CE6" w:rsidRPr="00242CE6" w:rsidRDefault="00242CE6" w:rsidP="00242CE6">
      <w:pPr>
        <w:spacing w:after="300" w:line="240" w:lineRule="auto"/>
        <w:jc w:val="center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ІІІ. ЯК ПРОВОДИТЬСЯ ОБСТЕЖЕННЯ ТА ОЦІНКА І ЯК ПОДАЄТЬСЯ</w:t>
      </w:r>
      <w:r w:rsidRPr="00242CE6">
        <w:rPr>
          <w:rFonts w:eastAsia="Times New Roman"/>
          <w:sz w:val="24"/>
          <w:szCs w:val="24"/>
          <w:lang w:eastAsia="uk-UA"/>
        </w:rPr>
        <w:t>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ІНФОРМАЦІЯ.</w:t>
      </w:r>
    </w:p>
    <w:p w14:paraId="0CB7588F" w14:textId="2B1E7F93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 </w:t>
      </w:r>
      <w:r>
        <w:rPr>
          <w:rFonts w:eastAsia="Times New Roman"/>
          <w:b/>
          <w:bCs/>
          <w:sz w:val="24"/>
          <w:szCs w:val="24"/>
          <w:lang w:eastAsia="uk-UA"/>
        </w:rPr>
        <w:t xml:space="preserve">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Обстеження та оцінка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 та інших МГН забезпечується 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t>управителями об’єктів </w:t>
      </w:r>
      <w:r w:rsidRPr="00242CE6">
        <w:rPr>
          <w:rFonts w:eastAsia="Times New Roman"/>
          <w:sz w:val="24"/>
          <w:szCs w:val="24"/>
          <w:lang w:eastAsia="uk-UA"/>
        </w:rPr>
        <w:t xml:space="preserve">за типами об’єктів, визначеними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Мінрегіоном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на поточний рік, та які були включені до відповідних переліків місцевими органами з питань містобудування і архітектури.</w:t>
      </w:r>
    </w:p>
    <w:p w14:paraId="70CD0CE9" w14:textId="65FE0D1B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Для проведення обстеження та оцінки управителем об’єкта визначається відповідальна особа. До участі в оцінці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управителі об’єктів можуть залучати представників громадських об’єднань осіб з інвалідністю.</w:t>
      </w:r>
    </w:p>
    <w:p w14:paraId="057531DF" w14:textId="03C7B633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lastRenderedPageBreak/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Проведення обстеження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об’єкта доцільно здійснювати шляхом встановлення відповідності Критеріям, наведеним у Додатку 1 до Порядку, стану шляхів руху до будівлі, прилеглої до неї території, вхідної групи, архітектурно-планувальних характеристик приміщень, шляхів руху та вертикальних комунікацій всередині будівлі, приміщень, до яких дозволено доступ відвідувачів, туалетів загального користування, шляхів евакуації, у тому числі геометричних параметрів відповідного обладнання.</w:t>
      </w:r>
    </w:p>
    <w:p w14:paraId="7C06E8C9" w14:textId="141BED07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>Обстеження та оцінка окремих елементів об’єкта визначається шляхом ретельного огляду, проведення необхідних обмірів з використанням звичайного вимірювального засобу – рулетки, та занесення інформації про елементи у таблицю Додатку 1 до Порядку у форматі «так» або «ні».</w:t>
      </w:r>
    </w:p>
    <w:p w14:paraId="301D70BD" w14:textId="2D945B58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>При проведенні обстеження доцільно звертати увагу на всі виступаючі елементи або предмети, існуючі пошкодження або дефекти, що можуть спричинити небезпеку або певні незручності для відвідувачів, з метою їх подальшого усунення.</w:t>
      </w:r>
    </w:p>
    <w:p w14:paraId="747AD71A" w14:textId="32ADEFD4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>Для забезпечення зручності при проведенні обстеження пропонується роздрукувати поверхові плани будівлі і приміщень або схематичне їх відображення та таблицю Додатку 1 до Порядку для подальшого його заповнення.</w:t>
      </w:r>
    </w:p>
    <w:p w14:paraId="279AF57C" w14:textId="0363527F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Обстеження та обміри рекомендується проводити у послідовності, встановленій у Додатку 1 до Порядку. Всі необхідні значення позначаються на плані або схемі, що у подальшому забезпечить можливість зручного внесення інформації про проведення обстеження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7EC86564" w14:textId="3A17EFC5" w:rsidR="00242CE6" w:rsidRPr="00242CE6" w:rsidRDefault="00242CE6" w:rsidP="00242CE6">
      <w:pPr>
        <w:spacing w:after="30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>З метою визначення відповідності параметрів пандусів вимогам зручності та безпеки при користуванні МГН, пропонуємо здійснювати нескладний розрахунок.</w:t>
      </w:r>
    </w:p>
    <w:p w14:paraId="68E6BB3D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i/>
          <w:iCs/>
          <w:sz w:val="24"/>
          <w:szCs w:val="24"/>
          <w:lang w:eastAsia="uk-UA"/>
        </w:rPr>
        <w:t>Як розрахувати параметри пандуса.</w:t>
      </w:r>
    </w:p>
    <w:p w14:paraId="76AA148F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i/>
          <w:iCs/>
          <w:sz w:val="24"/>
          <w:szCs w:val="24"/>
          <w:lang w:eastAsia="uk-UA"/>
        </w:rPr>
        <w:t>Згідно з вимогами ДБН та Критеріями, наведеними у Додатку 1 до Порядку, на 1 метр довжини пандуса має бути не більше 8 сантиметрів підйому. Тобто – нахил пандуса має становити не більше як 8 відсотків або 1:12.</w:t>
      </w:r>
    </w:p>
    <w:p w14:paraId="75E3A663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i/>
          <w:iCs/>
          <w:sz w:val="24"/>
          <w:szCs w:val="24"/>
          <w:lang w:eastAsia="uk-UA"/>
        </w:rPr>
        <w:t>Наприклад, різниця між рівнем землі та рівнем підлоги першого поверху будівлі складає 0,5 м.</w:t>
      </w:r>
    </w:p>
    <w:p w14:paraId="3973084B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i/>
          <w:iCs/>
          <w:sz w:val="24"/>
          <w:szCs w:val="24"/>
          <w:lang w:eastAsia="uk-UA"/>
        </w:rPr>
        <w:t xml:space="preserve">Застосовуючи співвідношення 1:12, 0,5 м помножуємо на 12 та отримуємо довжину горизонтальної </w:t>
      </w:r>
      <w:proofErr w:type="spellStart"/>
      <w:r w:rsidRPr="00242CE6">
        <w:rPr>
          <w:rFonts w:eastAsia="Times New Roman"/>
          <w:i/>
          <w:iCs/>
          <w:sz w:val="24"/>
          <w:szCs w:val="24"/>
          <w:lang w:eastAsia="uk-UA"/>
        </w:rPr>
        <w:t>проєкції</w:t>
      </w:r>
      <w:proofErr w:type="spellEnd"/>
      <w:r w:rsidRPr="00242CE6">
        <w:rPr>
          <w:rFonts w:eastAsia="Times New Roman"/>
          <w:i/>
          <w:iCs/>
          <w:sz w:val="24"/>
          <w:szCs w:val="24"/>
          <w:lang w:eastAsia="uk-UA"/>
        </w:rPr>
        <w:t xml:space="preserve"> пандуса, яка дорівнює 6,0 м.</w:t>
      </w:r>
    </w:p>
    <w:p w14:paraId="0D12077B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i/>
          <w:iCs/>
          <w:sz w:val="24"/>
          <w:szCs w:val="24"/>
          <w:lang w:eastAsia="uk-UA"/>
        </w:rPr>
        <w:t>0,5 х 12 = 6,0</w:t>
      </w:r>
    </w:p>
    <w:p w14:paraId="07B5B22F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i/>
          <w:iCs/>
          <w:sz w:val="24"/>
          <w:szCs w:val="24"/>
          <w:lang w:eastAsia="uk-UA"/>
        </w:rPr>
        <w:t xml:space="preserve">Таким чином, при висоті підйому пандуса 0,5 м довжина горизонтальної </w:t>
      </w:r>
      <w:proofErr w:type="spellStart"/>
      <w:r w:rsidRPr="00242CE6">
        <w:rPr>
          <w:rFonts w:eastAsia="Times New Roman"/>
          <w:i/>
          <w:iCs/>
          <w:sz w:val="24"/>
          <w:szCs w:val="24"/>
          <w:lang w:eastAsia="uk-UA"/>
        </w:rPr>
        <w:t>проєкції</w:t>
      </w:r>
      <w:proofErr w:type="spellEnd"/>
      <w:r w:rsidRPr="00242CE6">
        <w:rPr>
          <w:rFonts w:eastAsia="Times New Roman"/>
          <w:i/>
          <w:iCs/>
          <w:sz w:val="24"/>
          <w:szCs w:val="24"/>
          <w:lang w:eastAsia="uk-UA"/>
        </w:rPr>
        <w:t xml:space="preserve"> пандуса має становити не менше 6,0 м.</w:t>
      </w:r>
    </w:p>
    <w:p w14:paraId="608166E6" w14:textId="6D724E07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Для визначення оцінки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об’єкта заповнюється відповідна таблиця, що містить Критерії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5F557DBD" w14:textId="4BE61065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>У графі «Відповідність критеріям» зазначається «так» (якщо елемент відповідає критерію) або «ні» (якщо елемент не відповідає критерію).</w:t>
      </w:r>
    </w:p>
    <w:p w14:paraId="6DC5A2FC" w14:textId="6B51E0C3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>За результатами обстеження заповнюється позиція «Підсумки» шляхом обрання одного варіанта серед трьох:</w:t>
      </w:r>
    </w:p>
    <w:p w14:paraId="520A89E4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 xml:space="preserve">об’єкт є </w:t>
      </w:r>
      <w:proofErr w:type="spellStart"/>
      <w:r w:rsidRPr="00242CE6">
        <w:rPr>
          <w:rFonts w:eastAsia="Times New Roman"/>
          <w:b/>
          <w:bCs/>
          <w:sz w:val="24"/>
          <w:szCs w:val="24"/>
          <w:lang w:eastAsia="uk-UA"/>
        </w:rPr>
        <w:t>безбар’єрним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> – об’єкти, на яких людина, яка користується кріслом колісним або є незрячою, може самостійно зайти на об’єкт та вільно в ньому пересуватися та скористатися евакуаційним виходом. Такий об’єкт має вхідну групу в рівень з підлогою (або нормативний пандус чи підйомник), ширину всіх дверей не менше 90 сантиметрів, ліфт або підйомник (або бути одноповерховим), щонайменше одну доступну для осіб, які пересуваються на кріслах колісних, санітарно-гігієнічну кімнату із допоміжними поручнями біля унітазу, призначену для відвідувачів обох статей, тактильні направляючі та одну мнемосхему при вході;</w:t>
      </w:r>
    </w:p>
    <w:p w14:paraId="7958E2D7" w14:textId="77777777" w:rsidR="00242CE6" w:rsidRPr="00242CE6" w:rsidRDefault="00242CE6" w:rsidP="00242CE6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 xml:space="preserve">об’єкт має часткову </w:t>
      </w:r>
      <w:proofErr w:type="spellStart"/>
      <w:r w:rsidRPr="00242CE6">
        <w:rPr>
          <w:rFonts w:eastAsia="Times New Roman"/>
          <w:b/>
          <w:bCs/>
          <w:sz w:val="24"/>
          <w:szCs w:val="24"/>
          <w:lang w:eastAsia="uk-UA"/>
        </w:rPr>
        <w:t>безбар’єрність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 – об’єкти, на яких людина, яка користується кріслом колісним або є незрячою, може самостійно зайти на об’єкт та вільно в ньому пересуватися. Такий об’єкт має вхідну групу в рівень з підлогою (чи нормативний пандус (або його кут має відхилення від нормативного не більш як на 10 відсотків), ширину всіх дверей або більшості 80—89 сантиметрів, ліфт (або бути одноповерховим), щонайменше одну </w:t>
      </w:r>
      <w:r w:rsidRPr="00242CE6">
        <w:rPr>
          <w:rFonts w:eastAsia="Times New Roman"/>
          <w:sz w:val="24"/>
          <w:szCs w:val="24"/>
          <w:lang w:eastAsia="uk-UA"/>
        </w:rPr>
        <w:lastRenderedPageBreak/>
        <w:t>доступну для осіб, які пересуваються на кріслах колісних, санітарно-гігієнічну кімнату із допоміжними поручнями біля унітазу, що призначена для відвідувачів;</w:t>
      </w:r>
    </w:p>
    <w:p w14:paraId="62034B56" w14:textId="77777777" w:rsidR="00242CE6" w:rsidRPr="00242CE6" w:rsidRDefault="00242CE6" w:rsidP="00242CE6">
      <w:pPr>
        <w:spacing w:line="240" w:lineRule="auto"/>
        <w:jc w:val="both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об’єкт є бар’єрним</w:t>
      </w:r>
      <w:r w:rsidRPr="00242CE6">
        <w:rPr>
          <w:rFonts w:eastAsia="Times New Roman"/>
          <w:sz w:val="24"/>
          <w:szCs w:val="24"/>
          <w:lang w:eastAsia="uk-UA"/>
        </w:rPr>
        <w:t> – всі інші об’єкти, крім тих, що належать до першого та другого рівня (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або частково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>).</w:t>
      </w:r>
    </w:p>
    <w:p w14:paraId="336E1E8D" w14:textId="1BF657CA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</w:t>
      </w:r>
      <w:r w:rsidRPr="00242CE6">
        <w:rPr>
          <w:rFonts w:eastAsia="Times New Roman"/>
          <w:sz w:val="24"/>
          <w:szCs w:val="24"/>
          <w:lang w:eastAsia="uk-UA"/>
        </w:rPr>
        <w:t>Форма, заповнена управителем об’єкта в повному обсязі згідно з Додатком 1 до Порядку, надається відповідному місцевому органу з питань містобудування та архітектури.</w:t>
      </w:r>
    </w:p>
    <w:p w14:paraId="2296C7D0" w14:textId="36073E48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Місцевий орган з питань містобудування та архітектури збирає інформацію від управителів об’єктів про проведення обстеження та оцінки ступеня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інвалідністю, подану за формою згідно з Додатком 1, систематизують її за типами об’єктів та вносять дані за формою згідно із Додатком 2 до Порядку.</w:t>
      </w:r>
    </w:p>
    <w:p w14:paraId="0D7C4012" w14:textId="6D6469A5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>Окремо за типами об’єктів заповнюють у Додатку 2 до Порядку колонки «Загальна кількість об’єктів» та «Кількість об’єктів, що обстежено».</w:t>
      </w:r>
    </w:p>
    <w:p w14:paraId="72B2AD48" w14:textId="78415A76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У колонку «Оцінка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інвалідністю» вносять дані про відсоток об’єктів: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безбар’єрних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, частково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безбар’єрних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та бар’єрних – окремо по кожному типу об’єктів.</w:t>
      </w:r>
    </w:p>
    <w:p w14:paraId="4BAE8C94" w14:textId="565141FB" w:rsidR="00242CE6" w:rsidRPr="00242CE6" w:rsidRDefault="00242CE6" w:rsidP="00CB7638">
      <w:pPr>
        <w:spacing w:after="0"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>Місцевий орган з питань містобудування та архітектури передає інформацію, оформлену за формою згідно із Додатком 2 до Порядку, відповідному регіональному органу з питань містобудування та архітектури.</w:t>
      </w:r>
    </w:p>
    <w:p w14:paraId="0253F97D" w14:textId="5DB9C1AE" w:rsidR="00242CE6" w:rsidRPr="00242CE6" w:rsidRDefault="00242CE6" w:rsidP="00CB7638">
      <w:pPr>
        <w:spacing w:line="240" w:lineRule="auto"/>
        <w:jc w:val="both"/>
        <w:rPr>
          <w:rFonts w:eastAsia="Times New Roman"/>
          <w:sz w:val="24"/>
          <w:szCs w:val="24"/>
          <w:lang w:eastAsia="uk-UA"/>
        </w:rPr>
      </w:pPr>
      <w:r>
        <w:rPr>
          <w:rFonts w:eastAsia="Times New Roman"/>
          <w:sz w:val="24"/>
          <w:szCs w:val="24"/>
          <w:lang w:eastAsia="uk-UA"/>
        </w:rPr>
        <w:t xml:space="preserve">             </w:t>
      </w:r>
      <w:r w:rsidRPr="00242CE6">
        <w:rPr>
          <w:rFonts w:eastAsia="Times New Roman"/>
          <w:sz w:val="24"/>
          <w:szCs w:val="24"/>
          <w:lang w:eastAsia="uk-UA"/>
        </w:rPr>
        <w:t xml:space="preserve">Регіональний орган з питань містобудування та архітектури збирає інформацію від місцевих органів з питань містобудування та архітектури, подану за формою згідно з Додатком 2 до Порядку, систематизує її за типами об’єктів, та вносить дані за формою згідно із Додатком 3 до Порядку і подає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Мінрегіону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для подальшого опрацювання і формування рейтингу обласних, Київської та Севастопольської міських держадміністрацій за ступенем </w:t>
      </w:r>
      <w:proofErr w:type="spellStart"/>
      <w:r w:rsidRPr="00242CE6">
        <w:rPr>
          <w:rFonts w:eastAsia="Times New Roman"/>
          <w:sz w:val="24"/>
          <w:szCs w:val="24"/>
          <w:lang w:eastAsia="uk-UA"/>
        </w:rPr>
        <w:t>безбар’єрності</w:t>
      </w:r>
      <w:proofErr w:type="spellEnd"/>
      <w:r w:rsidRPr="00242CE6">
        <w:rPr>
          <w:rFonts w:eastAsia="Times New Roman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0C0CCE87" w14:textId="0B0C7A1C" w:rsidR="00CC01BD" w:rsidRPr="00242CE6" w:rsidRDefault="00242CE6" w:rsidP="00CB7638">
      <w:pPr>
        <w:spacing w:after="0" w:line="240" w:lineRule="auto"/>
        <w:rPr>
          <w:rFonts w:eastAsia="Times New Roman"/>
          <w:sz w:val="24"/>
          <w:szCs w:val="24"/>
          <w:lang w:eastAsia="uk-UA"/>
        </w:rPr>
      </w:pPr>
      <w:r w:rsidRPr="00242CE6">
        <w:rPr>
          <w:rFonts w:eastAsia="Times New Roman"/>
          <w:b/>
          <w:bCs/>
          <w:sz w:val="24"/>
          <w:szCs w:val="24"/>
          <w:lang w:eastAsia="uk-UA"/>
        </w:rPr>
        <w:t>Генеральний директор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br/>
        <w:t>Директорату просторового</w:t>
      </w:r>
      <w:r w:rsidRPr="00242CE6">
        <w:rPr>
          <w:rFonts w:eastAsia="Times New Roman"/>
          <w:b/>
          <w:bCs/>
          <w:sz w:val="24"/>
          <w:szCs w:val="24"/>
          <w:lang w:eastAsia="uk-UA"/>
        </w:rPr>
        <w:br/>
        <w:t>планування територій та архітектури                         Євген ПЛАЩЕНКО</w:t>
      </w:r>
    </w:p>
    <w:sectPr w:rsidR="00CC01BD" w:rsidRPr="00242CE6" w:rsidSect="00CB763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ourceSans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600"/>
    <w:multiLevelType w:val="multilevel"/>
    <w:tmpl w:val="99AA9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373FA6"/>
    <w:multiLevelType w:val="multilevel"/>
    <w:tmpl w:val="FACE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E6"/>
    <w:rsid w:val="00242CE6"/>
    <w:rsid w:val="0056469A"/>
    <w:rsid w:val="00CB7638"/>
    <w:rsid w:val="00CC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5FCF"/>
  <w15:chartTrackingRefBased/>
  <w15:docId w15:val="{50D93968-179F-4FE7-87E5-421938B2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5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00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7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8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54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2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347903">
                  <w:marLeft w:val="0"/>
                  <w:marRight w:val="0"/>
                  <w:marTop w:val="0"/>
                  <w:marBottom w:val="75"/>
                  <w:divBdr>
                    <w:top w:val="single" w:sz="12" w:space="0" w:color="D5DEED"/>
                    <w:left w:val="single" w:sz="12" w:space="11" w:color="D5DEED"/>
                    <w:bottom w:val="single" w:sz="12" w:space="0" w:color="D5DEED"/>
                    <w:right w:val="single" w:sz="12" w:space="11" w:color="D5DEED"/>
                  </w:divBdr>
                </w:div>
                <w:div w:id="1768186638">
                  <w:marLeft w:val="-225"/>
                  <w:marRight w:val="-225"/>
                  <w:marTop w:val="375"/>
                  <w:marBottom w:val="0"/>
                  <w:divBdr>
                    <w:top w:val="single" w:sz="6" w:space="4" w:color="CCCCCC"/>
                    <w:left w:val="none" w:sz="0" w:space="0" w:color="auto"/>
                    <w:bottom w:val="single" w:sz="6" w:space="4" w:color="CCCCCC"/>
                    <w:right w:val="none" w:sz="0" w:space="0" w:color="auto"/>
                  </w:divBdr>
                  <w:divsChild>
                    <w:div w:id="14395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1840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7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03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42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9605</Words>
  <Characters>5476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/>
  <dc:description/>
  <cp:lastModifiedBy>Architect</cp:lastModifiedBy>
  <cp:revision>1</cp:revision>
  <cp:lastPrinted>2021-09-09T07:20:00Z</cp:lastPrinted>
  <dcterms:created xsi:type="dcterms:W3CDTF">2021-09-09T07:06:00Z</dcterms:created>
  <dcterms:modified xsi:type="dcterms:W3CDTF">2021-09-09T07:23:00Z</dcterms:modified>
</cp:coreProperties>
</file>